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ноября 2021 № 58-в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179E8">
        <w:rPr>
          <w:rFonts w:ascii="Times New Roman" w:eastAsia="Calibri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F179E8">
        <w:rPr>
          <w:rFonts w:ascii="Times New Roman" w:eastAsia="Calibri" w:hAnsi="Times New Roman" w:cs="Times New Roman"/>
          <w:b/>
          <w:sz w:val="28"/>
          <w:szCs w:val="28"/>
        </w:rPr>
        <w:t>Студеновского</w:t>
      </w:r>
      <w:proofErr w:type="spellEnd"/>
      <w:r w:rsidRPr="00F179E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>на 2022 год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F179E8">
        <w:rPr>
          <w:rFonts w:ascii="Times New Roman" w:eastAsia="Calibri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 на территории </w:t>
      </w:r>
      <w:proofErr w:type="spellStart"/>
      <w:r w:rsidRPr="00F179E8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F179E8" w:rsidRPr="00F179E8" w:rsidRDefault="00F179E8" w:rsidP="00F179E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F179E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179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79E8" w:rsidRPr="00F179E8" w:rsidRDefault="00F179E8" w:rsidP="00F1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        - п</w:t>
      </w:r>
      <w:r w:rsidRPr="00F17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профилактических мероприятий, направленных на соблюдение   обязательных требований жилищного законодательства;</w:t>
      </w:r>
    </w:p>
    <w:p w:rsidR="00F179E8" w:rsidRPr="00F179E8" w:rsidRDefault="00F179E8" w:rsidP="00F179E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-информирование</w:t>
      </w:r>
      <w:r w:rsidRPr="00F179E8"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Pr="00F179E8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результатах </w:t>
      </w:r>
      <w:r w:rsidRPr="00F179E8">
        <w:rPr>
          <w:rFonts w:ascii="Times New Roman" w:eastAsia="Calibri" w:hAnsi="Times New Roman" w:cs="Times New Roman"/>
          <w:sz w:val="28"/>
          <w:szCs w:val="28"/>
        </w:rPr>
        <w:tab/>
        <w:t>проверок</w:t>
      </w:r>
      <w:r w:rsidRPr="00F179E8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F179E8">
        <w:rPr>
          <w:rFonts w:ascii="Times New Roman" w:eastAsia="Calibri" w:hAnsi="Times New Roman" w:cs="Times New Roman"/>
          <w:sz w:val="28"/>
          <w:szCs w:val="28"/>
        </w:rPr>
        <w:tab/>
        <w:t>принятых</w:t>
      </w:r>
    </w:p>
    <w:p w:rsidR="00F179E8" w:rsidRPr="00F179E8" w:rsidRDefault="00F179E8" w:rsidP="00F179E8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F179E8">
        <w:rPr>
          <w:rFonts w:ascii="Times New Roman" w:eastAsia="Calibri" w:hAnsi="Times New Roman" w:cs="Times New Roman"/>
          <w:sz w:val="28"/>
          <w:szCs w:val="28"/>
        </w:rPr>
        <w:t>мерах</w:t>
      </w:r>
      <w:proofErr w:type="gram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F179E8" w:rsidRPr="00F179E8" w:rsidRDefault="00F179E8" w:rsidP="00F179E8">
      <w:pPr>
        <w:numPr>
          <w:ilvl w:val="0"/>
          <w:numId w:val="7"/>
        </w:numPr>
        <w:tabs>
          <w:tab w:val="left" w:pos="993"/>
        </w:tabs>
        <w:spacing w:after="11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179E8" w:rsidRPr="00F179E8" w:rsidRDefault="00F179E8" w:rsidP="00F179E8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79E8" w:rsidRPr="00F179E8" w:rsidRDefault="00F179E8" w:rsidP="00F179E8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79E8" w:rsidRPr="00F179E8" w:rsidRDefault="00F179E8" w:rsidP="00F179E8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179E8" w:rsidRPr="00F179E8" w:rsidRDefault="00F179E8" w:rsidP="00F179E8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жилищной сфере;</w:t>
      </w:r>
    </w:p>
    <w:p w:rsidR="00F179E8" w:rsidRPr="00F179E8" w:rsidRDefault="00F179E8" w:rsidP="00F179E8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179E8" w:rsidRPr="00F179E8" w:rsidRDefault="00F179E8" w:rsidP="00F179E8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Укрепление </w:t>
      </w:r>
      <w:proofErr w:type="gramStart"/>
      <w:r w:rsidRPr="00F179E8">
        <w:rPr>
          <w:rFonts w:ascii="Times New Roman" w:eastAsia="Calibri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179E8" w:rsidRPr="00F179E8" w:rsidRDefault="00F179E8" w:rsidP="00F179E8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179E8" w:rsidRPr="00F179E8" w:rsidRDefault="00F179E8" w:rsidP="00F179E8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179E8" w:rsidRPr="00F179E8" w:rsidRDefault="00F179E8" w:rsidP="00F179E8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179E8" w:rsidRPr="00F179E8" w:rsidRDefault="00F179E8" w:rsidP="00F179E8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объектов контроля, отнесенных к категориям высокого риска,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объектов контроля, отнесенных к категориям среднего риска,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7"/>
        <w:gridCol w:w="1703"/>
        <w:gridCol w:w="4113"/>
      </w:tblGrid>
      <w:tr w:rsidR="00F179E8" w:rsidRPr="00F179E8" w:rsidTr="00F17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  <w:bookmarkStart w:id="3" w:name="_GoBack"/>
        <w:bookmarkEnd w:id="3"/>
      </w:tr>
      <w:tr w:rsidR="00F179E8" w:rsidRPr="00F179E8" w:rsidTr="00F17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proofErr w:type="spellStart"/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Студеновского</w:t>
            </w:r>
            <w:proofErr w:type="spellEnd"/>
            <w:r w:rsidRPr="00F179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</w:tbl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left="1211" w:hanging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3.1. При применении консультирования: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proofErr w:type="spellStart"/>
      <w:r w:rsidRPr="00F179E8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F179E8" w:rsidRPr="00F179E8" w:rsidRDefault="00F179E8" w:rsidP="00F179E8">
      <w:pPr>
        <w:numPr>
          <w:ilvl w:val="2"/>
          <w:numId w:val="4"/>
        </w:numPr>
        <w:autoSpaceDE w:val="0"/>
        <w:autoSpaceDN w:val="0"/>
        <w:adjustRightInd w:val="0"/>
        <w:spacing w:after="0" w:line="0" w:lineRule="atLeast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При применении обобщения правоприменительной практики: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proofErr w:type="gramStart"/>
      <w:r w:rsidRPr="00F179E8">
        <w:rPr>
          <w:rFonts w:ascii="Times New Roman" w:eastAsia="Calibri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3.2.4. Доклад о правоприменительной практике утверждается Главой </w:t>
      </w:r>
      <w:proofErr w:type="spellStart"/>
      <w:r w:rsidRPr="00F179E8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179E8" w:rsidRPr="00F179E8" w:rsidRDefault="00F179E8" w:rsidP="00F179E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F179E8">
        <w:rPr>
          <w:rFonts w:ascii="Times New Roman" w:eastAsia="Calibri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F179E8" w:rsidRPr="00F179E8" w:rsidRDefault="00F179E8" w:rsidP="00F179E8">
      <w:pPr>
        <w:spacing w:after="12"/>
        <w:ind w:right="415" w:firstLine="709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4.1. Реализация программы профилактики способствует:</w:t>
      </w:r>
    </w:p>
    <w:p w:rsidR="00F179E8" w:rsidRPr="00F179E8" w:rsidRDefault="00F179E8" w:rsidP="00F179E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lastRenderedPageBreak/>
        <w:t>1) соблюдению контролируемыми лицами обязательных требований, установленных нормативными правовыми актами;</w:t>
      </w:r>
    </w:p>
    <w:p w:rsidR="00F179E8" w:rsidRPr="00F179E8" w:rsidRDefault="00F179E8" w:rsidP="00F179E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2)   </w:t>
      </w: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F179E8" w:rsidRPr="00F179E8" w:rsidRDefault="00F179E8" w:rsidP="00F179E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179E8" w:rsidRPr="00F179E8" w:rsidRDefault="00F179E8" w:rsidP="00F179E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F179E8" w:rsidRPr="00F179E8" w:rsidRDefault="00F179E8" w:rsidP="00F179E8">
      <w:pPr>
        <w:spacing w:after="0" w:line="0" w:lineRule="atLeast"/>
        <w:ind w:firstLine="709"/>
        <w:jc w:val="both"/>
        <w:rPr>
          <w:rFonts w:ascii="Calibri" w:eastAsia="Calibri" w:hAnsi="Calibri" w:cs="Times New Roman"/>
        </w:rPr>
      </w:pPr>
      <w:r w:rsidRPr="00F17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r w:rsidRPr="00F179E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F179E8" w:rsidRPr="00F179E8" w:rsidRDefault="00F179E8" w:rsidP="00F179E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требований, которые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F179E8" w:rsidRPr="00F179E8" w:rsidRDefault="00F179E8" w:rsidP="00F179E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правонарушений.</w:t>
      </w:r>
    </w:p>
    <w:p w:rsidR="00F179E8" w:rsidRPr="00F179E8" w:rsidRDefault="00F179E8" w:rsidP="00F179E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4.3.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19"/>
      </w:tblGrid>
      <w:tr w:rsidR="00F179E8" w:rsidRPr="00F179E8" w:rsidTr="00F179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179E8" w:rsidRPr="00F179E8" w:rsidTr="00F179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179E8" w:rsidRPr="00F179E8" w:rsidTr="00F179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E8" w:rsidRPr="00F179E8" w:rsidRDefault="00F179E8" w:rsidP="00F179E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F179E8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F179E8" w:rsidRPr="00F179E8" w:rsidRDefault="00F179E8" w:rsidP="00F179E8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E8" w:rsidRPr="00F179E8" w:rsidRDefault="00F179E8" w:rsidP="00F179E8">
      <w:pPr>
        <w:numPr>
          <w:ilvl w:val="1"/>
          <w:numId w:val="5"/>
        </w:numPr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E8">
        <w:rPr>
          <w:rFonts w:ascii="Times New Roman" w:eastAsia="Calibri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F179E8" w:rsidRPr="00F179E8" w:rsidTr="00F179E8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100% и более</w:t>
            </w:r>
          </w:p>
        </w:tc>
      </w:tr>
      <w:tr w:rsidR="00F179E8" w:rsidRPr="00F179E8" w:rsidTr="00F179E8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E8" w:rsidRPr="00F179E8" w:rsidRDefault="00F179E8" w:rsidP="00F179E8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F179E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Эффективный</w:t>
            </w:r>
          </w:p>
        </w:tc>
      </w:tr>
    </w:tbl>
    <w:p w:rsidR="00F179E8" w:rsidRPr="00F179E8" w:rsidRDefault="00F179E8" w:rsidP="00F179E8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91B16" w:rsidRPr="00F179E8" w:rsidRDefault="00791B16" w:rsidP="00F179E8"/>
    <w:sectPr w:rsidR="00791B16" w:rsidRPr="00F1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7C7384">
      <w:start w:val="1"/>
      <w:numFmt w:val="bullet"/>
      <w:lvlText w:val="o"/>
      <w:lvlJc w:val="left"/>
      <w:pPr>
        <w:ind w:left="1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803FFE">
      <w:start w:val="1"/>
      <w:numFmt w:val="bullet"/>
      <w:lvlText w:val="▪"/>
      <w:lvlJc w:val="left"/>
      <w:pPr>
        <w:ind w:left="2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E487E8">
      <w:start w:val="1"/>
      <w:numFmt w:val="bullet"/>
      <w:lvlText w:val="•"/>
      <w:lvlJc w:val="left"/>
      <w:pPr>
        <w:ind w:left="3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6683D4">
      <w:start w:val="1"/>
      <w:numFmt w:val="bullet"/>
      <w:lvlText w:val="o"/>
      <w:lvlJc w:val="left"/>
      <w:pPr>
        <w:ind w:left="3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AEAE5E">
      <w:start w:val="1"/>
      <w:numFmt w:val="bullet"/>
      <w:lvlText w:val="▪"/>
      <w:lvlJc w:val="left"/>
      <w:pPr>
        <w:ind w:left="4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668CB4">
      <w:start w:val="1"/>
      <w:numFmt w:val="bullet"/>
      <w:lvlText w:val="•"/>
      <w:lvlJc w:val="left"/>
      <w:pPr>
        <w:ind w:left="5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D68AFE">
      <w:start w:val="1"/>
      <w:numFmt w:val="bullet"/>
      <w:lvlText w:val="o"/>
      <w:lvlJc w:val="left"/>
      <w:pPr>
        <w:ind w:left="6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385868">
      <w:start w:val="1"/>
      <w:numFmt w:val="bullet"/>
      <w:lvlText w:val="▪"/>
      <w:lvlJc w:val="left"/>
      <w:pPr>
        <w:ind w:left="6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25" w:hanging="720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895" w:hanging="108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465" w:hanging="1440"/>
      </w:pPr>
    </w:lvl>
    <w:lvl w:ilvl="6">
      <w:start w:val="1"/>
      <w:numFmt w:val="decimal"/>
      <w:lvlText w:val="%1.%2.%3.%4.%5.%6.%7."/>
      <w:lvlJc w:val="left"/>
      <w:pPr>
        <w:ind w:left="5430" w:hanging="1800"/>
      </w:pPr>
    </w:lvl>
    <w:lvl w:ilvl="7">
      <w:start w:val="1"/>
      <w:numFmt w:val="decimal"/>
      <w:lvlText w:val="%1.%2.%3.%4.%5.%6.%7.%8."/>
      <w:lvlJc w:val="left"/>
      <w:pPr>
        <w:ind w:left="6035" w:hanging="1800"/>
      </w:pPr>
    </w:lvl>
    <w:lvl w:ilvl="8">
      <w:start w:val="1"/>
      <w:numFmt w:val="decimal"/>
      <w:lvlText w:val="%1.%2.%3.%4.%5.%6.%7.%8.%9."/>
      <w:lvlJc w:val="left"/>
      <w:pPr>
        <w:ind w:left="7000" w:hanging="21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70"/>
    <w:rsid w:val="00721970"/>
    <w:rsid w:val="00791B16"/>
    <w:rsid w:val="00973315"/>
    <w:rsid w:val="00EE1BC8"/>
    <w:rsid w:val="00F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BC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BC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1253</Words>
  <Characters>7144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2022-11-14T04:42:00Z</dcterms:created>
  <dcterms:modified xsi:type="dcterms:W3CDTF">2022-11-14T06:54:00Z</dcterms:modified>
</cp:coreProperties>
</file>